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Promoción de la Salud y el Bienestar Policial.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6150"/>
                          <a:ext cx="5885815" cy="588582"/>
                          <a:chOff x="2403075" y="3496150"/>
                          <a:chExt cx="5885850" cy="567700"/>
                        </a:xfrm>
                      </wpg:grpSpPr>
                      <wpg:grpSp>
                        <wpg:cNvGrpSpPr/>
                        <wpg:grpSpPr>
                          <a:xfrm>
                            <a:off x="2403093" y="3496155"/>
                            <a:ext cx="5885815" cy="567690"/>
                            <a:chOff x="2402913" y="3481519"/>
                            <a:chExt cx="5886175" cy="5683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481519"/>
                              <a:ext cx="5886175" cy="56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481519"/>
                              <a:ext cx="5886175" cy="568327"/>
                              <a:chOff x="2311653" y="3573319"/>
                              <a:chExt cx="6068695" cy="42253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73319"/>
                                <a:ext cx="6068695" cy="401289"/>
                                <a:chOff x="0" y="-21261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595" y="-21261"/>
                                  <a:ext cx="5988051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elementos de medicina laboral.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88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5">
      <w:pPr>
        <w:spacing w:before="139"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Dirección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Provincial de Bienestar Integral del Personal Policial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propone un plan formativo para el personal policial con la finalidad de profundizar los conocimientos de las enfermedades profesionales y los factoras de riesgo laboral específico de la profesión policial, especialmente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riesgos físicos, psicológicos y sociales. Esto incluye el estrés crónico, el trauma físico, la exposición a sustancias peligrosas, el riesgo de violencia y la alteración de los ritmos circadianos.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Esta especialización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de riesgos físicos, psicológicos y sociales. Esto incluye el estrés crónico, el trauma físico, la exposición a sustancias peligrosas, el riesgo de violencia y la alteración de los ritmos circadianos.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before="139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afectado a oficinas de las Delegaciones de la Dirección de Sanidad.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de Coordinación de Delegaciones de la Subsecretaría de Promoción de la Salud y el Bienestar Policial.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ocho (8) horas reloj.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Julio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la superioridad.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023204293000 interno 74016.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7+EgLANAXECS9z7YdTqTsujWg==">CgMxLjAyDmguMzhrOHlpbnpiMzE2OAByITF0Z0RpcS1LczF0OTh3TFBfcVItbnpPOXNsbDA5UUVfMg==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2025-05-07T12:12:00Z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